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1ED3D" w14:textId="3074CDE1" w:rsidR="0043520F" w:rsidRPr="00896121" w:rsidRDefault="0043520F" w:rsidP="0043520F">
      <w:pPr>
        <w:jc w:val="center"/>
        <w:rPr>
          <w:rFonts w:ascii="Arial" w:hAnsi="Arial"/>
          <w:b/>
        </w:rPr>
      </w:pPr>
      <w:bookmarkStart w:id="0" w:name="_GoBack"/>
      <w:bookmarkEnd w:id="0"/>
      <w:r w:rsidRPr="00896121">
        <w:rPr>
          <w:rFonts w:ascii="Arial" w:hAnsi="Arial"/>
          <w:b/>
        </w:rPr>
        <w:t>Amendment to the Notice of Race</w:t>
      </w:r>
      <w:r w:rsidRPr="00896121">
        <w:rPr>
          <w:rFonts w:ascii="Arial" w:hAnsi="Arial"/>
          <w:b/>
        </w:rPr>
        <w:br/>
        <w:t xml:space="preserve">March </w:t>
      </w:r>
      <w:r w:rsidR="001E488C">
        <w:rPr>
          <w:rFonts w:ascii="Arial" w:hAnsi="Arial"/>
          <w:b/>
        </w:rPr>
        <w:t>4</w:t>
      </w:r>
      <w:r w:rsidRPr="00896121">
        <w:rPr>
          <w:rFonts w:ascii="Arial" w:hAnsi="Arial"/>
          <w:b/>
        </w:rPr>
        <w:t>, 2014</w:t>
      </w:r>
    </w:p>
    <w:p w14:paraId="4C803592" w14:textId="4E7F32EA" w:rsidR="00EF3796" w:rsidRPr="00160034" w:rsidRDefault="00896121" w:rsidP="0043520F">
      <w:pPr>
        <w:pStyle w:val="ListParagraph"/>
        <w:numPr>
          <w:ilvl w:val="0"/>
          <w:numId w:val="1"/>
        </w:numPr>
        <w:ind w:left="360"/>
        <w:rPr>
          <w:rFonts w:ascii="Arial" w:hAnsi="Arial"/>
          <w:b/>
        </w:rPr>
      </w:pPr>
      <w:r w:rsidRPr="00160034">
        <w:rPr>
          <w:rFonts w:ascii="Arial" w:hAnsi="Arial"/>
          <w:b/>
        </w:rPr>
        <w:t xml:space="preserve">4   </w:t>
      </w:r>
      <w:r w:rsidR="0043520F" w:rsidRPr="00160034">
        <w:rPr>
          <w:rFonts w:ascii="Arial" w:hAnsi="Arial"/>
          <w:b/>
        </w:rPr>
        <w:t>Fleet assignment/Scoring for the J70 Class</w:t>
      </w:r>
    </w:p>
    <w:p w14:paraId="666658AD" w14:textId="3580163B" w:rsidR="006F6FA7" w:rsidRPr="00896121" w:rsidRDefault="00F80D09" w:rsidP="00896121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896121">
        <w:rPr>
          <w:rFonts w:ascii="Arial" w:hAnsi="Arial"/>
        </w:rPr>
        <w:t>The regatta will consist of a ranking and final series.</w:t>
      </w:r>
    </w:p>
    <w:p w14:paraId="7F64BFF5" w14:textId="0DE1B62B" w:rsidR="00F80D09" w:rsidRPr="00896121" w:rsidRDefault="00F80D09" w:rsidP="00896121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896121">
        <w:rPr>
          <w:rFonts w:ascii="Arial" w:hAnsi="Arial"/>
        </w:rPr>
        <w:t xml:space="preserve">For the ranking </w:t>
      </w:r>
      <w:r w:rsidR="00FF7FCA" w:rsidRPr="00896121">
        <w:rPr>
          <w:rFonts w:ascii="Arial" w:hAnsi="Arial"/>
        </w:rPr>
        <w:t>series,</w:t>
      </w:r>
      <w:r w:rsidRPr="00896121">
        <w:rPr>
          <w:rFonts w:ascii="Arial" w:hAnsi="Arial"/>
        </w:rPr>
        <w:t xml:space="preserve"> boats will be assigned to </w:t>
      </w:r>
      <w:r w:rsidR="00EF3796" w:rsidRPr="00896121">
        <w:rPr>
          <w:rFonts w:ascii="Arial" w:hAnsi="Arial"/>
        </w:rPr>
        <w:t>fleets</w:t>
      </w:r>
      <w:r w:rsidRPr="00896121">
        <w:rPr>
          <w:rFonts w:ascii="Arial" w:hAnsi="Arial"/>
        </w:rPr>
        <w:t xml:space="preserve">: Yellow, Blue, Pink and Green, of, as nearly as possible, equal size and ability.  Initial assignments will be made by a seeding committee appointed by the organizing authority.  The decision of the Seeding Committee under this NOR/SI will be final and will not be grounds for redress.  This changes rule 62.1(a).  These assignments will be posted by 1800 </w:t>
      </w:r>
      <w:r w:rsidR="00EF3796" w:rsidRPr="00896121">
        <w:rPr>
          <w:rFonts w:ascii="Arial" w:hAnsi="Arial"/>
        </w:rPr>
        <w:t>Wednesday</w:t>
      </w:r>
      <w:r w:rsidR="00E658B2" w:rsidRPr="00896121">
        <w:rPr>
          <w:rFonts w:ascii="Arial" w:hAnsi="Arial"/>
        </w:rPr>
        <w:t>, April 9</w:t>
      </w:r>
      <w:r w:rsidRPr="00896121">
        <w:rPr>
          <w:rFonts w:ascii="Arial" w:hAnsi="Arial"/>
        </w:rPr>
        <w:t>.</w:t>
      </w:r>
    </w:p>
    <w:p w14:paraId="406F5F7B" w14:textId="6F9B3C84" w:rsidR="00896121" w:rsidRPr="00896121" w:rsidRDefault="0043520F" w:rsidP="00896121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896121">
        <w:rPr>
          <w:rFonts w:ascii="Arial" w:hAnsi="Arial"/>
        </w:rPr>
        <w:t>Final</w:t>
      </w:r>
      <w:r w:rsidR="00F80D09" w:rsidRPr="00896121">
        <w:rPr>
          <w:rFonts w:ascii="Arial" w:hAnsi="Arial"/>
        </w:rPr>
        <w:t xml:space="preserve"> </w:t>
      </w:r>
      <w:r w:rsidR="00FF7FCA" w:rsidRPr="00896121">
        <w:rPr>
          <w:rFonts w:ascii="Arial" w:hAnsi="Arial"/>
        </w:rPr>
        <w:t>series,</w:t>
      </w:r>
      <w:r w:rsidR="00F80D09" w:rsidRPr="00896121">
        <w:rPr>
          <w:rFonts w:ascii="Arial" w:hAnsi="Arial"/>
        </w:rPr>
        <w:t xml:space="preserve"> boat</w:t>
      </w:r>
      <w:r w:rsidR="007A3BEB">
        <w:rPr>
          <w:rFonts w:ascii="Arial" w:hAnsi="Arial"/>
        </w:rPr>
        <w:t>s will be assigned to fleets</w:t>
      </w:r>
      <w:r w:rsidR="00F80D09" w:rsidRPr="00896121">
        <w:rPr>
          <w:rFonts w:ascii="Arial" w:hAnsi="Arial"/>
        </w:rPr>
        <w:t xml:space="preserve"> after the first day</w:t>
      </w:r>
      <w:r w:rsidR="00EF3796" w:rsidRPr="00896121">
        <w:rPr>
          <w:rFonts w:ascii="Arial" w:hAnsi="Arial"/>
        </w:rPr>
        <w:t xml:space="preserve"> of racing.  </w:t>
      </w:r>
      <w:r w:rsidR="00F80D09" w:rsidRPr="00896121">
        <w:rPr>
          <w:rFonts w:ascii="Arial" w:hAnsi="Arial"/>
        </w:rPr>
        <w:t xml:space="preserve">If all boats have completed that same number of races, boats will be reassigned </w:t>
      </w:r>
      <w:r w:rsidR="00FF7FCA" w:rsidRPr="00896121">
        <w:rPr>
          <w:rFonts w:ascii="Arial" w:hAnsi="Arial"/>
        </w:rPr>
        <w:t>based on</w:t>
      </w:r>
      <w:r w:rsidR="00EF3796" w:rsidRPr="00896121">
        <w:rPr>
          <w:rFonts w:ascii="Arial" w:hAnsi="Arial"/>
        </w:rPr>
        <w:t xml:space="preserve"> their rank in the ranking series (first day of racing)</w:t>
      </w:r>
      <w:r w:rsidR="00F80D09" w:rsidRPr="00896121">
        <w:rPr>
          <w:rFonts w:ascii="Arial" w:hAnsi="Arial"/>
        </w:rPr>
        <w:t xml:space="preserve">.  If </w:t>
      </w:r>
      <w:r w:rsidR="00FF7FCA" w:rsidRPr="00896121">
        <w:rPr>
          <w:rFonts w:ascii="Arial" w:hAnsi="Arial"/>
        </w:rPr>
        <w:t>not all fleets have</w:t>
      </w:r>
      <w:r w:rsidR="00F80D09" w:rsidRPr="00896121">
        <w:rPr>
          <w:rFonts w:ascii="Arial" w:hAnsi="Arial"/>
        </w:rPr>
        <w:t xml:space="preserve"> completed the same number of </w:t>
      </w:r>
      <w:r w:rsidR="00FF7FCA" w:rsidRPr="00896121">
        <w:rPr>
          <w:rFonts w:ascii="Arial" w:hAnsi="Arial"/>
        </w:rPr>
        <w:t>races;</w:t>
      </w:r>
      <w:r w:rsidR="00F80D09" w:rsidRPr="00896121">
        <w:rPr>
          <w:rFonts w:ascii="Arial" w:hAnsi="Arial"/>
        </w:rPr>
        <w:t xml:space="preserve"> the series scores for reassignment will be calculated for those races numbered in order of completion completed b</w:t>
      </w:r>
      <w:r w:rsidR="00E658B2" w:rsidRPr="00896121">
        <w:rPr>
          <w:rFonts w:ascii="Arial" w:hAnsi="Arial"/>
        </w:rPr>
        <w:t>y all fleets.  Assignments will</w:t>
      </w:r>
      <w:r w:rsidR="00F80D09" w:rsidRPr="00896121">
        <w:rPr>
          <w:rFonts w:ascii="Arial" w:hAnsi="Arial"/>
        </w:rPr>
        <w:t xml:space="preserve"> be as follows: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813"/>
      </w:tblGrid>
      <w:tr w:rsidR="00896121" w:rsidRPr="00896121" w14:paraId="3243E7A0" w14:textId="77777777" w:rsidTr="00BD5224">
        <w:trPr>
          <w:trHeight w:val="287"/>
          <w:jc w:val="center"/>
        </w:trPr>
        <w:tc>
          <w:tcPr>
            <w:tcW w:w="1980" w:type="dxa"/>
          </w:tcPr>
          <w:p w14:paraId="0BAED8DD" w14:textId="77777777" w:rsidR="00896121" w:rsidRPr="00896121" w:rsidRDefault="00896121" w:rsidP="00896121">
            <w:pPr>
              <w:rPr>
                <w:rFonts w:ascii="Arial" w:hAnsi="Arial"/>
                <w:b/>
              </w:rPr>
            </w:pPr>
            <w:r w:rsidRPr="00896121">
              <w:rPr>
                <w:rFonts w:ascii="Arial" w:hAnsi="Arial"/>
                <w:b/>
              </w:rPr>
              <w:t>*Rank in Series</w:t>
            </w:r>
          </w:p>
        </w:tc>
        <w:tc>
          <w:tcPr>
            <w:tcW w:w="2813" w:type="dxa"/>
          </w:tcPr>
          <w:p w14:paraId="4DC24E55" w14:textId="77777777" w:rsidR="00896121" w:rsidRPr="00896121" w:rsidRDefault="00896121" w:rsidP="00896121">
            <w:pPr>
              <w:ind w:left="360"/>
              <w:rPr>
                <w:rFonts w:ascii="Arial" w:hAnsi="Arial"/>
                <w:b/>
              </w:rPr>
            </w:pPr>
            <w:r w:rsidRPr="00896121">
              <w:rPr>
                <w:rFonts w:ascii="Arial" w:hAnsi="Arial"/>
                <w:b/>
              </w:rPr>
              <w:t>Fleet Assignments*</w:t>
            </w:r>
          </w:p>
        </w:tc>
      </w:tr>
      <w:tr w:rsidR="00896121" w:rsidRPr="00896121" w14:paraId="3DD34D7B" w14:textId="77777777" w:rsidTr="00BD5224">
        <w:trPr>
          <w:trHeight w:val="287"/>
          <w:jc w:val="center"/>
        </w:trPr>
        <w:tc>
          <w:tcPr>
            <w:tcW w:w="1980" w:type="dxa"/>
          </w:tcPr>
          <w:p w14:paraId="7219A94F" w14:textId="77777777" w:rsidR="00896121" w:rsidRPr="00896121" w:rsidRDefault="00896121" w:rsidP="00BD5224">
            <w:pPr>
              <w:pStyle w:val="ListParagraph"/>
              <w:ind w:left="360"/>
              <w:jc w:val="center"/>
              <w:rPr>
                <w:rFonts w:ascii="Arial" w:hAnsi="Arial"/>
              </w:rPr>
            </w:pPr>
            <w:r w:rsidRPr="00896121">
              <w:rPr>
                <w:rFonts w:ascii="Arial" w:hAnsi="Arial"/>
              </w:rPr>
              <w:t>First</w:t>
            </w:r>
          </w:p>
        </w:tc>
        <w:tc>
          <w:tcPr>
            <w:tcW w:w="2813" w:type="dxa"/>
          </w:tcPr>
          <w:p w14:paraId="5D8120C7" w14:textId="77777777" w:rsidR="00896121" w:rsidRPr="00896121" w:rsidRDefault="00896121" w:rsidP="00BD5224">
            <w:pPr>
              <w:pStyle w:val="ListParagraph"/>
              <w:ind w:left="360"/>
              <w:jc w:val="center"/>
              <w:rPr>
                <w:rFonts w:ascii="Arial" w:hAnsi="Arial"/>
              </w:rPr>
            </w:pPr>
            <w:r w:rsidRPr="00896121">
              <w:rPr>
                <w:rFonts w:ascii="Arial" w:hAnsi="Arial"/>
              </w:rPr>
              <w:t>Yellow</w:t>
            </w:r>
          </w:p>
        </w:tc>
      </w:tr>
      <w:tr w:rsidR="00896121" w:rsidRPr="00896121" w14:paraId="322BEBFD" w14:textId="77777777" w:rsidTr="00BD5224">
        <w:trPr>
          <w:trHeight w:val="287"/>
          <w:jc w:val="center"/>
        </w:trPr>
        <w:tc>
          <w:tcPr>
            <w:tcW w:w="1980" w:type="dxa"/>
          </w:tcPr>
          <w:p w14:paraId="6E5043B1" w14:textId="77777777" w:rsidR="00896121" w:rsidRPr="00896121" w:rsidRDefault="00896121" w:rsidP="00BD5224">
            <w:pPr>
              <w:pStyle w:val="ListParagraph"/>
              <w:ind w:left="360"/>
              <w:jc w:val="center"/>
              <w:rPr>
                <w:rFonts w:ascii="Arial" w:hAnsi="Arial"/>
              </w:rPr>
            </w:pPr>
            <w:r w:rsidRPr="00896121">
              <w:rPr>
                <w:rFonts w:ascii="Arial" w:hAnsi="Arial"/>
              </w:rPr>
              <w:t>Second</w:t>
            </w:r>
          </w:p>
        </w:tc>
        <w:tc>
          <w:tcPr>
            <w:tcW w:w="2813" w:type="dxa"/>
          </w:tcPr>
          <w:p w14:paraId="1841DF9B" w14:textId="77777777" w:rsidR="00896121" w:rsidRPr="00896121" w:rsidRDefault="00896121" w:rsidP="00BD5224">
            <w:pPr>
              <w:pStyle w:val="ListParagraph"/>
              <w:ind w:left="360"/>
              <w:jc w:val="center"/>
              <w:rPr>
                <w:rFonts w:ascii="Arial" w:hAnsi="Arial"/>
              </w:rPr>
            </w:pPr>
            <w:r w:rsidRPr="00896121">
              <w:rPr>
                <w:rFonts w:ascii="Arial" w:hAnsi="Arial"/>
              </w:rPr>
              <w:t>Blue</w:t>
            </w:r>
          </w:p>
        </w:tc>
      </w:tr>
      <w:tr w:rsidR="00896121" w:rsidRPr="00896121" w14:paraId="33BCEA8D" w14:textId="77777777" w:rsidTr="00BD5224">
        <w:trPr>
          <w:trHeight w:val="287"/>
          <w:jc w:val="center"/>
        </w:trPr>
        <w:tc>
          <w:tcPr>
            <w:tcW w:w="1980" w:type="dxa"/>
          </w:tcPr>
          <w:p w14:paraId="5A0928F8" w14:textId="77777777" w:rsidR="00896121" w:rsidRPr="00896121" w:rsidRDefault="00896121" w:rsidP="00BD5224">
            <w:pPr>
              <w:pStyle w:val="ListParagraph"/>
              <w:ind w:left="360"/>
              <w:jc w:val="center"/>
              <w:rPr>
                <w:rFonts w:ascii="Arial" w:hAnsi="Arial"/>
              </w:rPr>
            </w:pPr>
            <w:r w:rsidRPr="00896121">
              <w:rPr>
                <w:rFonts w:ascii="Arial" w:hAnsi="Arial"/>
              </w:rPr>
              <w:t>Third</w:t>
            </w:r>
          </w:p>
        </w:tc>
        <w:tc>
          <w:tcPr>
            <w:tcW w:w="2813" w:type="dxa"/>
          </w:tcPr>
          <w:p w14:paraId="2C7586B0" w14:textId="77777777" w:rsidR="00896121" w:rsidRPr="00896121" w:rsidRDefault="00896121" w:rsidP="00BD5224">
            <w:pPr>
              <w:pStyle w:val="ListParagraph"/>
              <w:ind w:left="360"/>
              <w:jc w:val="center"/>
              <w:rPr>
                <w:rFonts w:ascii="Arial" w:hAnsi="Arial"/>
              </w:rPr>
            </w:pPr>
            <w:r w:rsidRPr="00896121">
              <w:rPr>
                <w:rFonts w:ascii="Arial" w:hAnsi="Arial"/>
              </w:rPr>
              <w:t>Pink</w:t>
            </w:r>
          </w:p>
        </w:tc>
      </w:tr>
      <w:tr w:rsidR="00896121" w:rsidRPr="00896121" w14:paraId="44FDD224" w14:textId="77777777" w:rsidTr="00BD5224">
        <w:trPr>
          <w:trHeight w:val="287"/>
          <w:jc w:val="center"/>
        </w:trPr>
        <w:tc>
          <w:tcPr>
            <w:tcW w:w="1980" w:type="dxa"/>
          </w:tcPr>
          <w:p w14:paraId="717EEA2D" w14:textId="77777777" w:rsidR="00896121" w:rsidRPr="00896121" w:rsidRDefault="00896121" w:rsidP="00BD5224">
            <w:pPr>
              <w:pStyle w:val="ListParagraph"/>
              <w:ind w:left="360"/>
              <w:jc w:val="center"/>
              <w:rPr>
                <w:rFonts w:ascii="Arial" w:hAnsi="Arial"/>
              </w:rPr>
            </w:pPr>
            <w:r w:rsidRPr="00896121">
              <w:rPr>
                <w:rFonts w:ascii="Arial" w:hAnsi="Arial"/>
              </w:rPr>
              <w:t>Forth</w:t>
            </w:r>
          </w:p>
        </w:tc>
        <w:tc>
          <w:tcPr>
            <w:tcW w:w="2813" w:type="dxa"/>
          </w:tcPr>
          <w:p w14:paraId="2CEAC113" w14:textId="77777777" w:rsidR="00896121" w:rsidRPr="00896121" w:rsidRDefault="00896121" w:rsidP="00BD5224">
            <w:pPr>
              <w:pStyle w:val="ListParagraph"/>
              <w:ind w:left="360"/>
              <w:jc w:val="center"/>
              <w:rPr>
                <w:rFonts w:ascii="Arial" w:hAnsi="Arial"/>
              </w:rPr>
            </w:pPr>
            <w:r w:rsidRPr="00896121">
              <w:rPr>
                <w:rFonts w:ascii="Arial" w:hAnsi="Arial"/>
              </w:rPr>
              <w:t>Green</w:t>
            </w:r>
          </w:p>
        </w:tc>
      </w:tr>
      <w:tr w:rsidR="00896121" w:rsidRPr="00896121" w14:paraId="0492C0CE" w14:textId="77777777" w:rsidTr="00BD5224">
        <w:trPr>
          <w:trHeight w:val="287"/>
          <w:jc w:val="center"/>
        </w:trPr>
        <w:tc>
          <w:tcPr>
            <w:tcW w:w="1980" w:type="dxa"/>
          </w:tcPr>
          <w:p w14:paraId="5873798E" w14:textId="77777777" w:rsidR="00896121" w:rsidRPr="00896121" w:rsidRDefault="00896121" w:rsidP="00BD5224">
            <w:pPr>
              <w:pStyle w:val="ListParagraph"/>
              <w:ind w:left="360"/>
              <w:jc w:val="center"/>
              <w:rPr>
                <w:rFonts w:ascii="Arial" w:hAnsi="Arial"/>
              </w:rPr>
            </w:pPr>
            <w:r w:rsidRPr="00896121">
              <w:rPr>
                <w:rFonts w:ascii="Arial" w:hAnsi="Arial"/>
              </w:rPr>
              <w:t>Fifth</w:t>
            </w:r>
          </w:p>
        </w:tc>
        <w:tc>
          <w:tcPr>
            <w:tcW w:w="2813" w:type="dxa"/>
          </w:tcPr>
          <w:p w14:paraId="610B2B8E" w14:textId="77777777" w:rsidR="00896121" w:rsidRPr="00896121" w:rsidRDefault="00896121" w:rsidP="00BD5224">
            <w:pPr>
              <w:pStyle w:val="ListParagraph"/>
              <w:ind w:left="360"/>
              <w:jc w:val="center"/>
              <w:rPr>
                <w:rFonts w:ascii="Arial" w:hAnsi="Arial"/>
              </w:rPr>
            </w:pPr>
            <w:r w:rsidRPr="00896121">
              <w:rPr>
                <w:rFonts w:ascii="Arial" w:hAnsi="Arial"/>
              </w:rPr>
              <w:t>Green</w:t>
            </w:r>
          </w:p>
        </w:tc>
      </w:tr>
      <w:tr w:rsidR="00896121" w:rsidRPr="00896121" w14:paraId="59B4B6BE" w14:textId="77777777" w:rsidTr="00BD5224">
        <w:trPr>
          <w:trHeight w:val="270"/>
          <w:jc w:val="center"/>
        </w:trPr>
        <w:tc>
          <w:tcPr>
            <w:tcW w:w="1980" w:type="dxa"/>
          </w:tcPr>
          <w:p w14:paraId="0CFB46A0" w14:textId="77777777" w:rsidR="00896121" w:rsidRPr="00896121" w:rsidRDefault="00896121" w:rsidP="00BD5224">
            <w:pPr>
              <w:pStyle w:val="ListParagraph"/>
              <w:ind w:left="360"/>
              <w:jc w:val="center"/>
              <w:rPr>
                <w:rFonts w:ascii="Arial" w:hAnsi="Arial"/>
              </w:rPr>
            </w:pPr>
            <w:r w:rsidRPr="00896121">
              <w:rPr>
                <w:rFonts w:ascii="Arial" w:hAnsi="Arial"/>
              </w:rPr>
              <w:t>Sixth</w:t>
            </w:r>
          </w:p>
        </w:tc>
        <w:tc>
          <w:tcPr>
            <w:tcW w:w="2813" w:type="dxa"/>
          </w:tcPr>
          <w:p w14:paraId="1ED12CE9" w14:textId="77777777" w:rsidR="00896121" w:rsidRPr="00896121" w:rsidRDefault="00896121" w:rsidP="00BD5224">
            <w:pPr>
              <w:pStyle w:val="ListParagraph"/>
              <w:ind w:left="360"/>
              <w:jc w:val="center"/>
              <w:rPr>
                <w:rFonts w:ascii="Arial" w:hAnsi="Arial"/>
              </w:rPr>
            </w:pPr>
            <w:r w:rsidRPr="00896121">
              <w:rPr>
                <w:rFonts w:ascii="Arial" w:hAnsi="Arial"/>
              </w:rPr>
              <w:t>Pink</w:t>
            </w:r>
          </w:p>
        </w:tc>
      </w:tr>
      <w:tr w:rsidR="00896121" w:rsidRPr="00896121" w14:paraId="168923AA" w14:textId="77777777" w:rsidTr="00BD5224">
        <w:trPr>
          <w:trHeight w:val="301"/>
          <w:jc w:val="center"/>
        </w:trPr>
        <w:tc>
          <w:tcPr>
            <w:tcW w:w="1980" w:type="dxa"/>
          </w:tcPr>
          <w:p w14:paraId="04D37789" w14:textId="77777777" w:rsidR="00896121" w:rsidRPr="00896121" w:rsidRDefault="00896121" w:rsidP="00BD5224">
            <w:pPr>
              <w:pStyle w:val="ListParagraph"/>
              <w:ind w:left="360"/>
              <w:jc w:val="center"/>
              <w:rPr>
                <w:rFonts w:ascii="Arial" w:hAnsi="Arial"/>
              </w:rPr>
            </w:pPr>
            <w:r w:rsidRPr="00896121">
              <w:rPr>
                <w:rFonts w:ascii="Arial" w:hAnsi="Arial"/>
              </w:rPr>
              <w:t>Seventh</w:t>
            </w:r>
          </w:p>
        </w:tc>
        <w:tc>
          <w:tcPr>
            <w:tcW w:w="2813" w:type="dxa"/>
          </w:tcPr>
          <w:p w14:paraId="3F9D7473" w14:textId="77777777" w:rsidR="00896121" w:rsidRPr="00896121" w:rsidRDefault="00896121" w:rsidP="00BD5224">
            <w:pPr>
              <w:pStyle w:val="ListParagraph"/>
              <w:ind w:left="360"/>
              <w:jc w:val="center"/>
              <w:rPr>
                <w:rFonts w:ascii="Arial" w:hAnsi="Arial"/>
              </w:rPr>
            </w:pPr>
            <w:r w:rsidRPr="00896121">
              <w:rPr>
                <w:rFonts w:ascii="Arial" w:hAnsi="Arial"/>
              </w:rPr>
              <w:t>Blue</w:t>
            </w:r>
          </w:p>
        </w:tc>
      </w:tr>
      <w:tr w:rsidR="00896121" w:rsidRPr="00896121" w14:paraId="1AC10047" w14:textId="77777777" w:rsidTr="00BD5224">
        <w:trPr>
          <w:trHeight w:val="301"/>
          <w:jc w:val="center"/>
        </w:trPr>
        <w:tc>
          <w:tcPr>
            <w:tcW w:w="1980" w:type="dxa"/>
          </w:tcPr>
          <w:p w14:paraId="2629F9F7" w14:textId="77777777" w:rsidR="00896121" w:rsidRPr="00896121" w:rsidRDefault="00896121" w:rsidP="00BD5224">
            <w:pPr>
              <w:pStyle w:val="ListParagraph"/>
              <w:ind w:left="360"/>
              <w:jc w:val="center"/>
              <w:rPr>
                <w:rFonts w:ascii="Arial" w:hAnsi="Arial"/>
              </w:rPr>
            </w:pPr>
            <w:r w:rsidRPr="00896121">
              <w:rPr>
                <w:rFonts w:ascii="Arial" w:hAnsi="Arial"/>
              </w:rPr>
              <w:t>Eighth</w:t>
            </w:r>
          </w:p>
        </w:tc>
        <w:tc>
          <w:tcPr>
            <w:tcW w:w="2813" w:type="dxa"/>
          </w:tcPr>
          <w:p w14:paraId="33673DF7" w14:textId="77777777" w:rsidR="00896121" w:rsidRPr="00896121" w:rsidRDefault="00896121" w:rsidP="00BD5224">
            <w:pPr>
              <w:pStyle w:val="ListParagraph"/>
              <w:ind w:left="360"/>
              <w:jc w:val="center"/>
              <w:rPr>
                <w:rFonts w:ascii="Arial" w:hAnsi="Arial"/>
              </w:rPr>
            </w:pPr>
            <w:r w:rsidRPr="00896121">
              <w:rPr>
                <w:rFonts w:ascii="Arial" w:hAnsi="Arial"/>
              </w:rPr>
              <w:t>Yellow</w:t>
            </w:r>
          </w:p>
        </w:tc>
      </w:tr>
      <w:tr w:rsidR="00896121" w:rsidRPr="00896121" w14:paraId="56601B7E" w14:textId="77777777" w:rsidTr="00BD5224">
        <w:trPr>
          <w:trHeight w:val="301"/>
          <w:jc w:val="center"/>
        </w:trPr>
        <w:tc>
          <w:tcPr>
            <w:tcW w:w="1980" w:type="dxa"/>
          </w:tcPr>
          <w:p w14:paraId="79346B92" w14:textId="77777777" w:rsidR="00896121" w:rsidRPr="00896121" w:rsidRDefault="00896121" w:rsidP="00BD5224">
            <w:pPr>
              <w:pStyle w:val="ListParagraph"/>
              <w:ind w:left="360"/>
              <w:jc w:val="center"/>
              <w:rPr>
                <w:rFonts w:ascii="Arial" w:hAnsi="Arial"/>
              </w:rPr>
            </w:pPr>
            <w:r w:rsidRPr="00896121">
              <w:rPr>
                <w:rFonts w:ascii="Arial" w:hAnsi="Arial"/>
              </w:rPr>
              <w:t>Ninth</w:t>
            </w:r>
          </w:p>
        </w:tc>
        <w:tc>
          <w:tcPr>
            <w:tcW w:w="2813" w:type="dxa"/>
          </w:tcPr>
          <w:p w14:paraId="6B0FC0B0" w14:textId="77777777" w:rsidR="00896121" w:rsidRPr="00896121" w:rsidRDefault="00896121" w:rsidP="00BD5224">
            <w:pPr>
              <w:pStyle w:val="ListParagraph"/>
              <w:ind w:left="360"/>
              <w:jc w:val="center"/>
              <w:rPr>
                <w:rFonts w:ascii="Arial" w:hAnsi="Arial"/>
              </w:rPr>
            </w:pPr>
            <w:r w:rsidRPr="00896121">
              <w:rPr>
                <w:rFonts w:ascii="Arial" w:hAnsi="Arial"/>
              </w:rPr>
              <w:t>Yellow</w:t>
            </w:r>
          </w:p>
        </w:tc>
      </w:tr>
      <w:tr w:rsidR="00896121" w:rsidRPr="00896121" w14:paraId="65127550" w14:textId="77777777" w:rsidTr="00BD5224">
        <w:trPr>
          <w:trHeight w:val="301"/>
          <w:jc w:val="center"/>
        </w:trPr>
        <w:tc>
          <w:tcPr>
            <w:tcW w:w="1980" w:type="dxa"/>
          </w:tcPr>
          <w:p w14:paraId="19939F11" w14:textId="5D58825D" w:rsidR="00896121" w:rsidRPr="00896121" w:rsidRDefault="006D5263" w:rsidP="00BD522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  <w:r w:rsidR="00BD5224">
              <w:rPr>
                <w:rFonts w:ascii="Arial" w:hAnsi="Arial"/>
              </w:rPr>
              <w:t>Tenth</w:t>
            </w:r>
          </w:p>
        </w:tc>
        <w:tc>
          <w:tcPr>
            <w:tcW w:w="2813" w:type="dxa"/>
          </w:tcPr>
          <w:p w14:paraId="4F4A00ED" w14:textId="3289B22D" w:rsidR="00896121" w:rsidRPr="00896121" w:rsidRDefault="00BD5224" w:rsidP="00BD5224">
            <w:pPr>
              <w:pStyle w:val="ListParagraph"/>
              <w:ind w:left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Blue</w:t>
            </w:r>
          </w:p>
        </w:tc>
      </w:tr>
      <w:tr w:rsidR="00BD5224" w:rsidRPr="00896121" w14:paraId="0834A4F2" w14:textId="77777777" w:rsidTr="00BD5224">
        <w:trPr>
          <w:trHeight w:val="301"/>
          <w:jc w:val="center"/>
        </w:trPr>
        <w:tc>
          <w:tcPr>
            <w:tcW w:w="1980" w:type="dxa"/>
          </w:tcPr>
          <w:p w14:paraId="60B76C64" w14:textId="278E0FEA" w:rsidR="00BD5224" w:rsidRDefault="006D5263" w:rsidP="00BD522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</w:t>
            </w:r>
            <w:r w:rsidR="00160034">
              <w:rPr>
                <w:rFonts w:ascii="Arial" w:hAnsi="Arial"/>
              </w:rPr>
              <w:t>Etc.</w:t>
            </w:r>
          </w:p>
        </w:tc>
        <w:tc>
          <w:tcPr>
            <w:tcW w:w="2813" w:type="dxa"/>
          </w:tcPr>
          <w:p w14:paraId="77C6298B" w14:textId="75F3B519" w:rsidR="00BD5224" w:rsidRDefault="00160034" w:rsidP="00BD5224">
            <w:pPr>
              <w:pStyle w:val="ListParagraph"/>
              <w:ind w:left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Etc.</w:t>
            </w:r>
          </w:p>
        </w:tc>
      </w:tr>
    </w:tbl>
    <w:p w14:paraId="57251569" w14:textId="61D195DE" w:rsidR="00F80D09" w:rsidRPr="00896121" w:rsidRDefault="00F80D09" w:rsidP="00160034">
      <w:pPr>
        <w:pStyle w:val="ListParagraph"/>
        <w:ind w:left="1440"/>
        <w:rPr>
          <w:rFonts w:ascii="Arial" w:hAnsi="Arial"/>
        </w:rPr>
      </w:pPr>
    </w:p>
    <w:p w14:paraId="4E514672" w14:textId="02C1CAA3" w:rsidR="00F80D09" w:rsidRPr="00896121" w:rsidRDefault="00953835" w:rsidP="00896121">
      <w:pPr>
        <w:pStyle w:val="ListParagraph"/>
        <w:numPr>
          <w:ilvl w:val="2"/>
          <w:numId w:val="1"/>
        </w:numPr>
        <w:rPr>
          <w:rFonts w:ascii="Arial" w:hAnsi="Arial"/>
        </w:rPr>
      </w:pPr>
      <w:r w:rsidRPr="00896121">
        <w:rPr>
          <w:rFonts w:ascii="Arial" w:hAnsi="Arial"/>
        </w:rPr>
        <w:t>If two or more boats share the same rank, they will be entered in the left column in the order of fleets above</w:t>
      </w:r>
      <w:r w:rsidR="00EF3796" w:rsidRPr="00896121">
        <w:rPr>
          <w:rFonts w:ascii="Arial" w:hAnsi="Arial"/>
        </w:rPr>
        <w:t xml:space="preserve"> (Yellow, Blue, Pink and Green)</w:t>
      </w:r>
      <w:r w:rsidRPr="00896121">
        <w:rPr>
          <w:rFonts w:ascii="Arial" w:hAnsi="Arial"/>
        </w:rPr>
        <w:t>.</w:t>
      </w:r>
    </w:p>
    <w:p w14:paraId="1F085A09" w14:textId="77777777" w:rsidR="00953835" w:rsidRPr="00896121" w:rsidRDefault="00953835" w:rsidP="00896121">
      <w:pPr>
        <w:pStyle w:val="ListParagraph"/>
        <w:numPr>
          <w:ilvl w:val="2"/>
          <w:numId w:val="1"/>
        </w:numPr>
        <w:rPr>
          <w:rFonts w:ascii="Arial" w:hAnsi="Arial"/>
        </w:rPr>
      </w:pPr>
      <w:r w:rsidRPr="00896121">
        <w:rPr>
          <w:rFonts w:ascii="Arial" w:hAnsi="Arial"/>
        </w:rPr>
        <w:t>Assignments will be based on the ranking available at 2000 hrs at the end of the first day of racing regardless of protests or requests redress not yet decided.</w:t>
      </w:r>
    </w:p>
    <w:p w14:paraId="1E72BDD9" w14:textId="77777777" w:rsidR="00953835" w:rsidRPr="00896121" w:rsidRDefault="00953835" w:rsidP="00896121">
      <w:pPr>
        <w:pStyle w:val="ListParagraph"/>
        <w:numPr>
          <w:ilvl w:val="2"/>
          <w:numId w:val="1"/>
        </w:numPr>
        <w:rPr>
          <w:rFonts w:ascii="Arial" w:hAnsi="Arial"/>
        </w:rPr>
      </w:pPr>
      <w:r w:rsidRPr="00896121">
        <w:rPr>
          <w:rFonts w:ascii="Arial" w:hAnsi="Arial"/>
        </w:rPr>
        <w:t>These assignments will be posted at 2100 after the first day of racing.</w:t>
      </w:r>
    </w:p>
    <w:p w14:paraId="32E9F89D" w14:textId="2178AB6A" w:rsidR="00953835" w:rsidRPr="00896121" w:rsidRDefault="00EF3796" w:rsidP="00896121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896121">
        <w:rPr>
          <w:rFonts w:ascii="Arial" w:hAnsi="Arial"/>
        </w:rPr>
        <w:t>There will be</w:t>
      </w:r>
      <w:r w:rsidR="00C2755C" w:rsidRPr="00896121">
        <w:rPr>
          <w:rFonts w:ascii="Arial" w:hAnsi="Arial"/>
        </w:rPr>
        <w:t xml:space="preserve"> </w:t>
      </w:r>
      <w:r w:rsidRPr="00896121">
        <w:rPr>
          <w:rFonts w:ascii="Arial" w:hAnsi="Arial"/>
        </w:rPr>
        <w:t>four</w:t>
      </w:r>
      <w:r w:rsidR="00C2755C" w:rsidRPr="00896121">
        <w:rPr>
          <w:rFonts w:ascii="Arial" w:hAnsi="Arial"/>
        </w:rPr>
        <w:t xml:space="preserve"> </w:t>
      </w:r>
      <w:r w:rsidRPr="00896121">
        <w:rPr>
          <w:rFonts w:ascii="Arial" w:hAnsi="Arial"/>
        </w:rPr>
        <w:t xml:space="preserve">daily </w:t>
      </w:r>
      <w:r w:rsidR="00C2755C" w:rsidRPr="00896121">
        <w:rPr>
          <w:rFonts w:ascii="Arial" w:hAnsi="Arial"/>
        </w:rPr>
        <w:t>trophies presented</w:t>
      </w:r>
      <w:r w:rsidR="00896121" w:rsidRPr="00896121">
        <w:rPr>
          <w:rFonts w:ascii="Arial" w:hAnsi="Arial"/>
        </w:rPr>
        <w:t xml:space="preserve"> for the ranking </w:t>
      </w:r>
      <w:r w:rsidRPr="00896121">
        <w:rPr>
          <w:rFonts w:ascii="Arial" w:hAnsi="Arial"/>
        </w:rPr>
        <w:t xml:space="preserve">series and one overall daily </w:t>
      </w:r>
      <w:r w:rsidR="002F5F94" w:rsidRPr="00896121">
        <w:rPr>
          <w:rFonts w:ascii="Arial" w:hAnsi="Arial"/>
        </w:rPr>
        <w:t xml:space="preserve">presented </w:t>
      </w:r>
      <w:r w:rsidRPr="00896121">
        <w:rPr>
          <w:rFonts w:ascii="Arial" w:hAnsi="Arial"/>
        </w:rPr>
        <w:t>for the final series</w:t>
      </w:r>
      <w:r w:rsidR="00C2755C" w:rsidRPr="00896121">
        <w:rPr>
          <w:rFonts w:ascii="Arial" w:hAnsi="Arial"/>
        </w:rPr>
        <w:t>.</w:t>
      </w:r>
    </w:p>
    <w:p w14:paraId="658F2288" w14:textId="41F47F62" w:rsidR="00896121" w:rsidRDefault="008C2175" w:rsidP="00896121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896121">
        <w:rPr>
          <w:rFonts w:ascii="Arial" w:hAnsi="Arial"/>
        </w:rPr>
        <w:t xml:space="preserve">Final scores will be based on total points from both series with no race excluded and will be calculated for the same number </w:t>
      </w:r>
      <w:r w:rsidR="00FF7FCA" w:rsidRPr="00896121">
        <w:rPr>
          <w:rFonts w:ascii="Arial" w:hAnsi="Arial"/>
        </w:rPr>
        <w:t>of completed</w:t>
      </w:r>
      <w:r w:rsidRPr="00896121">
        <w:rPr>
          <w:rFonts w:ascii="Arial" w:hAnsi="Arial"/>
        </w:rPr>
        <w:t xml:space="preserve"> races by all fleets.  If ties cannot be broken by RRS A8, there will be multiple places awarded.</w:t>
      </w:r>
    </w:p>
    <w:p w14:paraId="6FD50C29" w14:textId="6DE3CE58" w:rsidR="00896121" w:rsidRPr="00896121" w:rsidRDefault="00896121" w:rsidP="001E2E5D">
      <w:pPr>
        <w:rPr>
          <w:rFonts w:ascii="Arial" w:hAnsi="Arial"/>
        </w:rPr>
      </w:pPr>
    </w:p>
    <w:sectPr w:rsidR="00896121" w:rsidRPr="00896121" w:rsidSect="008C217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714DD"/>
    <w:multiLevelType w:val="hybridMultilevel"/>
    <w:tmpl w:val="06146EF0"/>
    <w:lvl w:ilvl="0" w:tplc="EBD8794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6A64E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8EA86C16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42FE8"/>
    <w:multiLevelType w:val="multilevel"/>
    <w:tmpl w:val="0C6CF0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09"/>
    <w:rsid w:val="000E07AA"/>
    <w:rsid w:val="00160034"/>
    <w:rsid w:val="001A286D"/>
    <w:rsid w:val="001E2E5D"/>
    <w:rsid w:val="001E488C"/>
    <w:rsid w:val="002F5F94"/>
    <w:rsid w:val="00345FA4"/>
    <w:rsid w:val="003F50CA"/>
    <w:rsid w:val="0043520F"/>
    <w:rsid w:val="006D5263"/>
    <w:rsid w:val="006F6FA7"/>
    <w:rsid w:val="007A3BEB"/>
    <w:rsid w:val="00896121"/>
    <w:rsid w:val="008C2175"/>
    <w:rsid w:val="00953835"/>
    <w:rsid w:val="00AF03FB"/>
    <w:rsid w:val="00BD5224"/>
    <w:rsid w:val="00C2755C"/>
    <w:rsid w:val="00CF1A38"/>
    <w:rsid w:val="00D753EF"/>
    <w:rsid w:val="00E658B2"/>
    <w:rsid w:val="00EF3796"/>
    <w:rsid w:val="00F23812"/>
    <w:rsid w:val="00F33DEC"/>
    <w:rsid w:val="00F80D09"/>
    <w:rsid w:val="00FF7F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96C933"/>
  <w15:docId w15:val="{B36E0710-EE16-4F90-92B2-5D87BB41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7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F6FA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80D0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80D09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80D09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F80D09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435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 Dept of Physiology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Ashton</dc:creator>
  <cp:keywords/>
  <dc:description/>
  <cp:lastModifiedBy>Randy  Draftz</cp:lastModifiedBy>
  <cp:revision>2</cp:revision>
  <dcterms:created xsi:type="dcterms:W3CDTF">2014-03-03T23:45:00Z</dcterms:created>
  <dcterms:modified xsi:type="dcterms:W3CDTF">2014-03-03T23:45:00Z</dcterms:modified>
</cp:coreProperties>
</file>